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ЗАКОН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РЕСПУБЛИКИ ТЫВА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от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14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ноября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2018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N 437-</w:t>
      </w:r>
      <w:r>
        <w:rPr>
          <w:rFonts w:ascii="Arial" w:hAnsi="Arial" w:eastAsia="Arial" w:cs="Arial"/>
          <w:sz w:val="29"/>
          <w:szCs w:val="29"/>
          <w:color w:val="auto"/>
        </w:rPr>
        <w:t>ЗРТ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jc w:val="both"/>
        <w:spacing w:after="0" w:line="283" w:lineRule="auto"/>
        <w:tabs>
          <w:tab w:val="left" w:leader="none" w:pos="392"/>
        </w:tabs>
        <w:numPr>
          <w:ilvl w:val="0"/>
          <w:numId w:val="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наделении органов местного самоуправления муниципальных районов и городских округов отдельными государственными полномочиями Республики Тыва по организации и обеспечению отдыха и оздоровления детей</w:t>
      </w:r>
    </w:p>
    <w:p>
      <w:pPr>
        <w:spacing w:after="0" w:line="18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Принят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Верховным Хуралом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парламентом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Республики Тыва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29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октября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2018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jc w:val="both"/>
        <w:ind w:firstLine="288"/>
        <w:spacing w:after="0" w:line="251" w:lineRule="auto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  <w:hyperlink r:id="rId12">
        <w:r>
          <w:rPr>
            <w:rFonts w:ascii="Arial" w:hAnsi="Arial" w:eastAsia="Arial" w:cs="Arial"/>
            <w:sz w:val="29"/>
            <w:szCs w:val="29"/>
            <w:color w:val="auto"/>
          </w:rPr>
          <w:t>Настоящий Закон разработан в соответствии с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Конституцией Российской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3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Федерации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Конституцией Республики Тыва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Бюджетным кодексом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Российской Федерации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федеральными законами 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6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октября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1999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184-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 общих принципах организации законодательных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4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(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представительных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)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и исполнительных органов государственной власти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субъектов Российской 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6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октября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2003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 131-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5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общих принципах организации местного самоуправления в Российской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6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EE"/>
          </w:rPr>
          <w:t xml:space="preserve"> 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от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24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июля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1998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года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N 124-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ФЗ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 xml:space="preserve"> "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Об основных гарантиях прав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hyperlink r:id="rId16"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ребенка в Российской Федерации</w:t>
        </w:r>
        <w:r>
          <w:rPr>
            <w:rFonts w:ascii="Arial" w:hAnsi="Arial" w:eastAsia="Arial" w:cs="Arial"/>
            <w:sz w:val="29"/>
            <w:szCs w:val="29"/>
            <w:u w:val="single" w:color="auto"/>
            <w:color w:val="0000EE"/>
          </w:rPr>
          <w:t>"</w:t>
        </w:r>
        <w:r>
          <w:rPr>
            <w:rFonts w:ascii="Arial" w:hAnsi="Arial" w:eastAsia="Arial" w:cs="Arial"/>
            <w:sz w:val="29"/>
            <w:szCs w:val="29"/>
            <w:color w:val="000000"/>
          </w:rPr>
          <w:t>,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Законом Республики Тыва от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31</w:t>
        </w:r>
        <w:r>
          <w:rPr>
            <w:rFonts w:ascii="Arial" w:hAnsi="Arial" w:eastAsia="Arial" w:cs="Arial"/>
            <w:sz w:val="29"/>
            <w:szCs w:val="29"/>
            <w:color w:val="000000"/>
          </w:rPr>
          <w:t xml:space="preserve"> января</w:t>
        </w:r>
      </w:hyperlink>
      <w:r>
        <w:rPr>
          <w:rFonts w:ascii="Arial" w:hAnsi="Arial" w:eastAsia="Arial" w:cs="Arial"/>
          <w:sz w:val="29"/>
          <w:szCs w:val="29"/>
          <w:u w:val="single" w:color="auto"/>
          <w:color w:val="0000EE"/>
        </w:rPr>
        <w:t xml:space="preserve"> </w:t>
      </w:r>
      <w:r>
        <w:rPr>
          <w:rFonts w:ascii="Arial" w:hAnsi="Arial" w:eastAsia="Arial" w:cs="Arial"/>
          <w:sz w:val="29"/>
          <w:szCs w:val="29"/>
          <w:color w:val="000000"/>
        </w:rPr>
        <w:t>2011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года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N 387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ВХ</w:t>
      </w:r>
      <w:r>
        <w:rPr>
          <w:rFonts w:ascii="Arial" w:hAnsi="Arial" w:eastAsia="Arial" w:cs="Arial"/>
          <w:sz w:val="29"/>
          <w:szCs w:val="29"/>
          <w:color w:val="000000"/>
        </w:rPr>
        <w:t>-1 "</w:t>
      </w:r>
      <w:r>
        <w:rPr>
          <w:rFonts w:ascii="Arial" w:hAnsi="Arial" w:eastAsia="Arial" w:cs="Arial"/>
          <w:sz w:val="29"/>
          <w:szCs w:val="29"/>
          <w:color w:val="000000"/>
        </w:rPr>
        <w:t>Об организации отдыха</w:t>
      </w:r>
      <w:r>
        <w:rPr>
          <w:rFonts w:ascii="Arial" w:hAnsi="Arial" w:eastAsia="Arial" w:cs="Arial"/>
          <w:sz w:val="29"/>
          <w:szCs w:val="29"/>
          <w:color w:val="000000"/>
        </w:rPr>
        <w:t>,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оздоровления и занятости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</w:t>
      </w:r>
      <w:r>
        <w:rPr>
          <w:rFonts w:ascii="Arial" w:hAnsi="Arial" w:eastAsia="Arial" w:cs="Arial"/>
          <w:sz w:val="29"/>
          <w:szCs w:val="29"/>
          <w:color w:val="000000"/>
        </w:rPr>
        <w:t>детей в Республике Тыва</w:t>
      </w:r>
      <w:r>
        <w:rPr>
          <w:rFonts w:ascii="Arial" w:hAnsi="Arial" w:eastAsia="Arial" w:cs="Arial"/>
          <w:sz w:val="29"/>
          <w:szCs w:val="29"/>
          <w:color w:val="000000"/>
        </w:rPr>
        <w:t>"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и регулирует отношения по наделению органов местного самоуправления муниципальных районов и городских округов Республики Тыва отдельными государственными полномочиями Республики Тыва по организации и обеспечению отдыха и оздоровления детей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(</w:t>
      </w:r>
      <w:r>
        <w:rPr>
          <w:rFonts w:ascii="Arial" w:hAnsi="Arial" w:eastAsia="Arial" w:cs="Arial"/>
          <w:sz w:val="29"/>
          <w:szCs w:val="29"/>
          <w:color w:val="000000"/>
        </w:rPr>
        <w:t>за исключением организации отдыха детей в каникулярное время</w:t>
      </w:r>
      <w:r>
        <w:rPr>
          <w:rFonts w:ascii="Arial" w:hAnsi="Arial" w:eastAsia="Arial" w:cs="Arial"/>
          <w:sz w:val="29"/>
          <w:szCs w:val="29"/>
          <w:color w:val="000000"/>
        </w:rPr>
        <w:t>) (</w:t>
      </w:r>
      <w:r>
        <w:rPr>
          <w:rFonts w:ascii="Arial" w:hAnsi="Arial" w:eastAsia="Arial" w:cs="Arial"/>
          <w:sz w:val="29"/>
          <w:szCs w:val="29"/>
          <w:color w:val="000000"/>
        </w:rPr>
        <w:t>далее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-</w:t>
      </w:r>
      <w:r>
        <w:rPr>
          <w:rFonts w:ascii="Arial" w:hAnsi="Arial" w:eastAsia="Arial" w:cs="Arial"/>
          <w:sz w:val="29"/>
          <w:szCs w:val="29"/>
          <w:color w:val="000000"/>
        </w:rPr>
        <w:t xml:space="preserve"> отдельные государственные полномочия</w:t>
      </w:r>
      <w:r>
        <w:rPr>
          <w:rFonts w:ascii="Arial" w:hAnsi="Arial" w:eastAsia="Arial" w:cs="Arial"/>
          <w:sz w:val="29"/>
          <w:szCs w:val="29"/>
          <w:color w:val="000000"/>
        </w:rPr>
        <w:t>).</w:t>
      </w:r>
    </w:p>
    <w:p>
      <w:pPr>
        <w:spacing w:after="0" w:line="269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ind w:right="820"/>
        <w:spacing w:after="0" w:line="30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1.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Отдельные государственные полномочия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передаваемые органам местного самоуправления</w:t>
      </w:r>
    </w:p>
    <w:p>
      <w:pPr>
        <w:sectPr>
          <w:pgSz w:w="11900" w:h="16840" w:orient="portrait"/>
          <w:cols w:equalWidth="0" w:num="1">
            <w:col w:w="10460"/>
          </w:cols>
          <w:pgMar w:top="1016" w:right="720" w:bottom="1440" w:left="720" w:header="0" w:footer="0" w:gutter="0"/>
        </w:sect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spacing w:after="0" w:line="310" w:lineRule="exact"/>
        <w:rPr>
          <w:rFonts w:ascii="Arial" w:hAnsi="Arial" w:eastAsia="Arial" w:cs="Arial"/>
          <w:sz w:val="29"/>
          <w:szCs w:val="29"/>
          <w:u w:val="single" w:color="auto"/>
          <w:color w:val="0000EE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наделяются отдельными государственными полномочиями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включающими в себя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ectPr>
          <w:pgSz w:w="11900" w:h="16840" w:orient="portrait"/>
          <w:cols w:equalWidth="0" w:num="1">
            <w:col w:w="10460"/>
          </w:cols>
          <w:pgMar w:top="1016" w:right="720" w:bottom="1440" w:left="720" w:header="0" w:footer="0" w:gutter="0"/>
          <w:type w:val="continuous"/>
        </w:sectPr>
      </w:pPr>
    </w:p>
    <w:bookmarkStart w:name="page3" w:id="2"/>
    <w:bookmarkEnd w:id="2"/>
    <w:p>
      <w:pPr>
        <w:jc w:val="both"/>
        <w:ind w:right="20" w:firstLine="288"/>
        <w:spacing w:after="0" w:line="259" w:lineRule="auto"/>
        <w:tabs>
          <w:tab w:val="left" w:leader="none" w:pos="634"/>
        </w:tabs>
        <w:numPr>
          <w:ilvl w:val="1"/>
          <w:numId w:val="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осуществление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50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процентов оплаты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компенсации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стоимости путевок в загородные стационарные детские оздоровительные организации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центры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лагеря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базы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комплексы</w:t>
      </w:r>
      <w:r>
        <w:rPr>
          <w:rFonts w:ascii="Arial" w:hAnsi="Arial" w:eastAsia="Arial" w:cs="Arial"/>
          <w:sz w:val="29"/>
          <w:szCs w:val="29"/>
          <w:color w:val="auto"/>
        </w:rPr>
        <w:t>) (</w:t>
      </w:r>
      <w:r>
        <w:rPr>
          <w:rFonts w:ascii="Arial" w:hAnsi="Arial" w:eastAsia="Arial" w:cs="Arial"/>
          <w:sz w:val="29"/>
          <w:szCs w:val="29"/>
          <w:color w:val="auto"/>
        </w:rPr>
        <w:t>далее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загородные стационарные детские оздоровительные организации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для детей школьного возраста до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15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лет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включительно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6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3" w:lineRule="auto"/>
        <w:tabs>
          <w:tab w:val="left" w:leader="none" w:pos="638"/>
        </w:tabs>
        <w:numPr>
          <w:ilvl w:val="1"/>
          <w:numId w:val="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осуществление оплаты стоимости набора продуктов питания в лагерях с дневным пребыванием детей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в том числе в детских лагерях труда и отдыха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организованных на базах муниципальных образовательных и спортивных организаций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со сроком пребывания не менее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5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рабочих дней в период весенних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осенних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зимних школьных каникул и не менее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21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календарного дня</w:t>
      </w:r>
    </w:p>
    <w:p>
      <w:pPr>
        <w:spacing w:after="0" w:line="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240" w:hanging="240"/>
        <w:spacing w:after="0"/>
        <w:tabs>
          <w:tab w:val="left" w:leader="none" w:pos="240"/>
        </w:tabs>
        <w:numPr>
          <w:ilvl w:val="0"/>
          <w:numId w:val="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период летних школьных каникул для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7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20" w:firstLine="288"/>
        <w:spacing w:after="0" w:line="289" w:lineRule="auto"/>
        <w:tabs>
          <w:tab w:val="left" w:leader="none" w:pos="691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ведение реестра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банка данных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детей по категориям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определенным Правительством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21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66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организация и проведение мониторинга потребности в услугах по организации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качества услуг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оказываемых организациями отдыха детей и их оздоровления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726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использование результатов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46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осуществление распределения бюджетных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выделенных на проведение оздоровительной кампании для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 учетом потребности на основании реестра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банка данных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firstLine="288"/>
        <w:spacing w:after="0" w:line="289" w:lineRule="auto"/>
        <w:tabs>
          <w:tab w:val="left" w:leader="none" w:pos="658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оповещение населения о порядке обеспечения отдыха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оздоровления и занятости детей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21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698"/>
        </w:tabs>
        <w:numPr>
          <w:ilvl w:val="1"/>
          <w:numId w:val="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осуществление мер по защите прав детей на отдых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охрану жизни и здоровья и контроль за условиями нахождения детей и обращением с ними в организациях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обеспечивающих отдых детей и их оздоровление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0" w:left="720" w:header="0" w:footer="0" w:gutter="0"/>
        </w:sect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right="260"/>
        <w:spacing w:after="0" w:line="30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2.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Перечень органов местного самоуправления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которые наделяются отдельными государственными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0" w:left="720" w:header="0" w:footer="0" w:gutter="0"/>
          <w:type w:val="continuous"/>
        </w:sectPr>
      </w:pPr>
    </w:p>
    <w:bookmarkStart w:name="page5" w:id="4"/>
    <w:bookmarkEnd w:id="4"/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полномочиями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Настоящим Законом отдельными государственными полномочиями наделяются следующие органы местного самоуправления муниципальных районов и городских округов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Бай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Тайгинский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Барун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Хемчикский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Дзун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Хемчикский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Каа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Кызылский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Монгун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Тайгинский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Овюрский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Пий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620" w:hanging="332"/>
        <w:spacing w:after="0"/>
        <w:tabs>
          <w:tab w:val="left" w:leader="none" w:pos="62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Сут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Хольский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Тандинский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Тес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Тере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Хольский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Тоджинский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512" w:right="720" w:bottom="871" w:left="720" w:header="0" w:footer="0" w:gutter="0"/>
        </w:sectPr>
      </w:pPr>
    </w:p>
    <w:bookmarkStart w:name="page7" w:id="6"/>
    <w:bookmarkEnd w:id="6"/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Улуг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Хемский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Чаа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Хольский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Чеди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Хольский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Эрзинский кожуун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город Кызыл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245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760" w:hanging="472"/>
        <w:spacing w:after="0"/>
        <w:tabs>
          <w:tab w:val="left" w:leader="none" w:pos="760"/>
        </w:tabs>
        <w:numPr>
          <w:ilvl w:val="0"/>
          <w:numId w:val="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город Ак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Довурак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right="1220"/>
        <w:spacing w:after="0" w:line="30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3.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Срок осуществления органами местного самоуправления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наделяются отдельными государственными полномочиями на неограниченный срок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right="440"/>
        <w:spacing w:after="0" w:line="30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4.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Средства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необходимые для осуществления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765"/>
        </w:tabs>
        <w:numPr>
          <w:ilvl w:val="0"/>
          <w:numId w:val="6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Средства на реализацию отдельных государственных полномочий предусматриваются в республиканском бюджете Республики Тыва на очередной финансовый год в виде субвенций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предоставляемых местным бюджетам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Общий объем субвенций определяется в соответствии с Методикой расчета нормативов для определения общего объема субвенций муниципальным образованиям Республики Тыва на осуществление отдельных государственных полномочий согласно приложению к настоящему Закону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440" w:left="720" w:header="0" w:footer="0" w:gutter="0"/>
        </w:sectPr>
      </w:pPr>
    </w:p>
    <w:bookmarkStart w:name="page9" w:id="8"/>
    <w:bookmarkEnd w:id="8"/>
    <w:p>
      <w:pPr>
        <w:jc w:val="both"/>
        <w:ind w:firstLine="288"/>
        <w:spacing w:after="0" w:line="262" w:lineRule="auto"/>
        <w:tabs>
          <w:tab w:val="left" w:leader="none" w:pos="725"/>
        </w:tabs>
        <w:numPr>
          <w:ilvl w:val="0"/>
          <w:numId w:val="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Перечень подлежащих передаче в пользование и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или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управление материальных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необходимых для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определяется Правительством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1440"/>
        <w:spacing w:after="0" w:line="27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5.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Права и обязанности органов местного самоуправления при осуществлении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tabs>
          <w:tab w:val="left" w:leader="none" w:pos="877"/>
        </w:tabs>
        <w:numPr>
          <w:ilvl w:val="0"/>
          <w:numId w:val="8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при исполнении отдельных государственных полномочий имеют право на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tabs>
          <w:tab w:val="left" w:leader="none" w:pos="722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обеспечение осуществления отдельных государственных полномочий необходимыми материальными ресурсами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21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55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получение разъяснений от уполномоченного органа исполнительной власти Республики Тыва в области образования по вопросам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669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дополнительное использование собственных материальных ресурсов и финансовых средств для реализации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right="20" w:firstLine="288"/>
        <w:spacing w:after="0" w:line="269" w:lineRule="auto"/>
        <w:tabs>
          <w:tab w:val="left" w:leader="none" w:pos="686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принятие муниципальных правовых актов по вопросам осуществления отдельных государственных полномочий в соответствии с настоящим Законом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27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обжалование в судебном порядке письменных предписаний органов государственной власти по устранению нарушений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допущенных при осуществлении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firstLine="288"/>
        <w:spacing w:after="0" w:line="289" w:lineRule="auto"/>
        <w:tabs>
          <w:tab w:val="left" w:leader="none" w:pos="771"/>
        </w:tabs>
        <w:numPr>
          <w:ilvl w:val="0"/>
          <w:numId w:val="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иные права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предусмотренные федеральным законодательством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tabs>
          <w:tab w:val="left" w:leader="none" w:pos="877"/>
        </w:tabs>
        <w:numPr>
          <w:ilvl w:val="0"/>
          <w:numId w:val="10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при исполнении отдельных государственных полномочий обязаны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229" w:left="720" w:header="0" w:footer="0" w:gutter="0"/>
        </w:sectPr>
      </w:pPr>
    </w:p>
    <w:bookmarkStart w:name="page11" w:id="10"/>
    <w:bookmarkEnd w:id="10"/>
    <w:p>
      <w:pPr>
        <w:jc w:val="both"/>
        <w:ind w:firstLine="288"/>
        <w:spacing w:after="0" w:line="262" w:lineRule="auto"/>
        <w:tabs>
          <w:tab w:val="left" w:leader="none" w:pos="756"/>
        </w:tabs>
        <w:numPr>
          <w:ilvl w:val="0"/>
          <w:numId w:val="1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осуществлять отдельные государственные полномочия надлежащим образом в соответствии с настоящим Законом и иными нормативными правовыми актами Республики Тыва по вопросам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998"/>
        </w:tabs>
        <w:numPr>
          <w:ilvl w:val="0"/>
          <w:numId w:val="1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обеспечивать эффективное и рациональное использование материальных ресурсов и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выделенных из республиканского бюджета Республики Тыва на осуществление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644"/>
        </w:tabs>
        <w:numPr>
          <w:ilvl w:val="0"/>
          <w:numId w:val="1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исполнять письменные предписания органов государственной власти по устранению нарушений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допущенных по вопросам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right="20" w:firstLine="288"/>
        <w:spacing w:after="0" w:line="269" w:lineRule="auto"/>
        <w:tabs>
          <w:tab w:val="left" w:leader="none" w:pos="902"/>
        </w:tabs>
        <w:numPr>
          <w:ilvl w:val="0"/>
          <w:numId w:val="1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выполнять иные обязанности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предусмотренные федеральным законодательством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при осуществлении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right="4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6.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Права и обязанности органов исполнительной власти Республики Тыва при осуществлении органами местного самоуправления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686"/>
        </w:tabs>
        <w:numPr>
          <w:ilvl w:val="0"/>
          <w:numId w:val="1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исполнительной власти Республики Тыва при осуществлении органами местного самоуправления отдельных государственных полномочий имеют право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641"/>
        </w:tabs>
        <w:numPr>
          <w:ilvl w:val="0"/>
          <w:numId w:val="1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получать в установленном порядке от органов местного самоуправления необходимую информацию об использовании материальных ресурсов и финансовых средств на осуществление ими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20" w:firstLine="288"/>
        <w:spacing w:after="0" w:line="289" w:lineRule="auto"/>
        <w:tabs>
          <w:tab w:val="left" w:leader="none" w:pos="919"/>
        </w:tabs>
        <w:numPr>
          <w:ilvl w:val="0"/>
          <w:numId w:val="1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осуществлять иные права в соответствии с федеральным законодательством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440" w:left="720" w:header="0" w:footer="0" w:gutter="0"/>
        </w:sectPr>
      </w:pPr>
    </w:p>
    <w:bookmarkStart w:name="page13" w:id="12"/>
    <w:bookmarkEnd w:id="12"/>
    <w:p>
      <w:pPr>
        <w:jc w:val="both"/>
        <w:ind w:firstLine="288"/>
        <w:spacing w:after="0" w:line="269" w:lineRule="auto"/>
        <w:tabs>
          <w:tab w:val="left" w:leader="none" w:pos="801"/>
        </w:tabs>
        <w:numPr>
          <w:ilvl w:val="0"/>
          <w:numId w:val="1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 соответствии с компетенцией органы исполнительной власти Республики Тыва при осуществлении органами местного самоуправления отдельных государственных полномочий обязаны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20"/>
        </w:tabs>
        <w:numPr>
          <w:ilvl w:val="0"/>
          <w:numId w:val="1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обеспечить передачу органам местного самоуправления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необходимых для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947"/>
        </w:tabs>
        <w:numPr>
          <w:ilvl w:val="0"/>
          <w:numId w:val="1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осуществлять контроль за исполнением органами местного самоуправления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а также за использованием предоставленных на эти цели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93"/>
        </w:tabs>
        <w:numPr>
          <w:ilvl w:val="0"/>
          <w:numId w:val="1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давать разъяснения и оказывать методическую помощь органам местного самоуправления по вопросам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658"/>
        </w:tabs>
        <w:numPr>
          <w:ilvl w:val="0"/>
          <w:numId w:val="1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оказывать содействие органам местного самоуправления в разрешении вопросов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связанных с осуществлением ими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right="20" w:firstLine="288"/>
        <w:spacing w:after="0" w:line="289" w:lineRule="auto"/>
        <w:tabs>
          <w:tab w:val="left" w:leader="none" w:pos="790"/>
        </w:tabs>
        <w:numPr>
          <w:ilvl w:val="0"/>
          <w:numId w:val="1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осуществлять иные обязанности в соответствии с федеральным законодательством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right="18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7.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Ответственность органов местного самоуправления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,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их должностных лиц за неисполнение или ненадлежащее исполнение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7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Органы местного самоуправления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их должностные лица несут ответственность за неисполнение или ненадлежащее исполнение переданных настоящим Законом отдельных государственных полномочий в соответствии</w:t>
      </w:r>
    </w:p>
    <w:p>
      <w:pPr>
        <w:ind w:right="20"/>
        <w:spacing w:after="0" w:line="262" w:lineRule="auto"/>
        <w:tabs>
          <w:tab w:val="left" w:leader="none" w:pos="538"/>
        </w:tabs>
        <w:numPr>
          <w:ilvl w:val="0"/>
          <w:numId w:val="16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законодательством Российской Федерации и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34" w:left="720" w:header="0" w:footer="0" w:gutter="0"/>
        </w:sect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right="700"/>
        <w:spacing w:after="0" w:line="27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8.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Формы взаимодействия органов исполнительной власти Республики Тыва и органов местного самоуправления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34" w:left="720" w:header="0" w:footer="0" w:gutter="0"/>
          <w:type w:val="continuous"/>
        </w:sectPr>
      </w:pPr>
    </w:p>
    <w:bookmarkStart w:name="page15" w:id="14"/>
    <w:bookmarkEnd w:id="14"/>
    <w:p>
      <w:pPr>
        <w:jc w:val="both"/>
        <w:ind w:right="60" w:firstLine="288"/>
        <w:spacing w:after="0" w:line="271" w:lineRule="auto"/>
        <w:tabs>
          <w:tab w:val="left" w:leader="none" w:pos="658"/>
        </w:tabs>
        <w:numPr>
          <w:ilvl w:val="1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Правительство Республики Тыва через органы исполнительной власти Республики Тыва осуществляет организационное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методическое руководство</w:t>
      </w:r>
    </w:p>
    <w:p>
      <w:pPr>
        <w:spacing w:after="0" w:line="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spacing w:after="0" w:line="255" w:lineRule="auto"/>
        <w:tabs>
          <w:tab w:val="left" w:leader="none" w:pos="250"/>
        </w:tabs>
        <w:numPr>
          <w:ilvl w:val="0"/>
          <w:numId w:val="1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контроль за исполнением возложенных на органы местного самоуправления отдельных государственных полномочий и использованием переданных на эти цели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6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70" w:lineRule="auto"/>
        <w:tabs>
          <w:tab w:val="left" w:leader="none" w:pos="702"/>
        </w:tabs>
        <w:numPr>
          <w:ilvl w:val="1"/>
          <w:numId w:val="18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Уполномоченные органы исполнительной власти Республики Тыва в пределах своей компетенции имеют право издавать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порядку их реализации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а также осуществлять контроль за их исполнением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both"/>
        <w:ind w:right="1600"/>
        <w:spacing w:after="0" w:line="27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9.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Порядок отчетности органов местного самоуправления об осуществлении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271" w:lineRule="auto"/>
        <w:tabs>
          <w:tab w:val="left" w:leader="none" w:pos="627"/>
        </w:tabs>
        <w:numPr>
          <w:ilvl w:val="1"/>
          <w:numId w:val="19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Не позднее десятого числа месяца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следующего за отчетным периодом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органы местного самоуправления представляют в Министерство образования</w:t>
      </w:r>
    </w:p>
    <w:p>
      <w:pPr>
        <w:spacing w:after="0" w:line="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spacing w:after="0" w:line="255" w:lineRule="auto"/>
        <w:tabs>
          <w:tab w:val="left" w:leader="none" w:pos="273"/>
        </w:tabs>
        <w:numPr>
          <w:ilvl w:val="0"/>
          <w:numId w:val="19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науки Республики Тыва квартальные и годовые отчеты об осуществлении отдельных государственных полномочий по форме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устанавливаемой указанным органом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6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797"/>
        </w:tabs>
        <w:numPr>
          <w:ilvl w:val="1"/>
          <w:numId w:val="20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Органы местного самоуправления представляют в Министерство финансов Республики Тыва отчеты об использовании выделенных финансовых средств на осуществление отдельных государственных полномочий по форме и в сроки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установленные для представления отчетов об исполнении консолидированного бюджета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right="34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10.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Порядок осуществления органами исполнительной власти Республики Тыва контроля за осуществлением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797"/>
        </w:tabs>
        <w:numPr>
          <w:ilvl w:val="0"/>
          <w:numId w:val="21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отдельных государственных полномочий требований федерального законодательства и законодательства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ectPr>
          <w:pgSz w:w="11900" w:h="16840" w:orient="portrait"/>
          <w:cols w:equalWidth="0" w:num="1">
            <w:col w:w="10460"/>
          </w:cols>
          <w:pgMar w:top="997" w:right="720" w:bottom="269" w:left="720" w:header="0" w:footer="0" w:gutter="0"/>
        </w:sectPr>
      </w:pPr>
    </w:p>
    <w:bookmarkStart w:name="page17" w:id="16"/>
    <w:bookmarkEnd w:id="16"/>
    <w:p>
      <w:pPr>
        <w:jc w:val="both"/>
        <w:ind w:firstLine="288"/>
        <w:spacing w:after="0" w:line="269" w:lineRule="auto"/>
        <w:tabs>
          <w:tab w:val="left" w:leader="none" w:pos="806"/>
        </w:tabs>
        <w:numPr>
          <w:ilvl w:val="0"/>
          <w:numId w:val="2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Контроль осуществляется путем проведения проверок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запросов необходимых документов и информации об исполнении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70" w:lineRule="auto"/>
        <w:tabs>
          <w:tab w:val="left" w:leader="none" w:pos="609"/>
        </w:tabs>
        <w:numPr>
          <w:ilvl w:val="0"/>
          <w:numId w:val="2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Правительство Республики Тыва осуществляет контроль за исполнением переданных органам местного самоуправления отдельных государственных полномочий через Министерство образования и науки Республики Тыва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Периодичность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формы</w:t>
      </w:r>
      <w:r>
        <w:rPr>
          <w:rFonts w:ascii="Arial" w:hAnsi="Arial" w:eastAsia="Arial" w:cs="Arial"/>
          <w:sz w:val="28"/>
          <w:szCs w:val="28"/>
          <w:color w:val="auto"/>
        </w:rPr>
        <w:t>,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сроки и порядок проведения проверок устанавливаются Министерством образования и науки Республики Тыва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spacing w:after="0" w:line="35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ind w:firstLine="288"/>
        <w:spacing w:after="0" w:line="256" w:lineRule="auto"/>
        <w:tabs>
          <w:tab w:val="left" w:leader="none" w:pos="912"/>
        </w:tabs>
        <w:numPr>
          <w:ilvl w:val="0"/>
          <w:numId w:val="2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Правительство Республики Тыва осуществляет контроль за использованием органами местного самоуправления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предоставленных им для осуществления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через Министерство финансов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Периодичность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формы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сроки и порядок проведения проверок устанавливаются Министерством финансов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72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54" w:lineRule="auto"/>
        <w:tabs>
          <w:tab w:val="left" w:leader="none" w:pos="636"/>
        </w:tabs>
        <w:numPr>
          <w:ilvl w:val="0"/>
          <w:numId w:val="22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Республики Тыва по вопросам осуществления отдельных государственных полномочий Министерство образования и науки Республики Тыва вправе давать письменные предписания по устранению выявленных нарушений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обязательные для исполнения органами местного самоуправления и должностными лицами местного самоуправления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right="800"/>
        <w:spacing w:after="0" w:line="265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11.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Условия и порядок прекращения осуществления органами местного самоуправления переданных им отдельных государственных полномочий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firstLine="288"/>
        <w:spacing w:after="0" w:line="289" w:lineRule="auto"/>
        <w:tabs>
          <w:tab w:val="left" w:leader="none" w:pos="852"/>
        </w:tabs>
        <w:numPr>
          <w:ilvl w:val="0"/>
          <w:numId w:val="23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Осуществление органами местного самоуправления переданных государственных полномочий может быть прекращено при условии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right="20" w:firstLine="288"/>
        <w:spacing w:after="0" w:line="289" w:lineRule="auto"/>
        <w:tabs>
          <w:tab w:val="left" w:leader="none" w:pos="864"/>
        </w:tabs>
        <w:numPr>
          <w:ilvl w:val="0"/>
          <w:numId w:val="24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неэффективного исполнения органами местного самоуправления переданных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1016" w:left="720" w:header="0" w:footer="0" w:gutter="0"/>
        </w:sectPr>
      </w:pPr>
    </w:p>
    <w:bookmarkStart w:name="page19" w:id="18"/>
    <w:bookmarkEnd w:id="18"/>
    <w:p>
      <w:pPr>
        <w:jc w:val="both"/>
        <w:ind w:right="20" w:firstLine="288"/>
        <w:spacing w:after="0" w:line="262" w:lineRule="auto"/>
        <w:tabs>
          <w:tab w:val="left" w:leader="none" w:pos="910"/>
        </w:tabs>
        <w:numPr>
          <w:ilvl w:val="0"/>
          <w:numId w:val="2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нецелевого использования органами местного самоуправления финансовых средств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предоставляемых местным бюджетам из республиканского бюджета Республики Тыва для осуществления переданных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778"/>
        </w:tabs>
        <w:numPr>
          <w:ilvl w:val="0"/>
          <w:numId w:val="2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нарушения органами местного самоуправления при осуществлении переданных отдельных государственных полномочий законодательства Российской Федерации и законодательства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4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firstLine="288"/>
        <w:spacing w:after="0" w:line="269" w:lineRule="auto"/>
        <w:tabs>
          <w:tab w:val="left" w:leader="none" w:pos="957"/>
        </w:tabs>
        <w:numPr>
          <w:ilvl w:val="0"/>
          <w:numId w:val="25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признания судом недействующими актов органов местного самоуправления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связанных с осуществлением отдельных государственных полномочий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59" w:lineRule="auto"/>
        <w:tabs>
          <w:tab w:val="left" w:leader="none" w:pos="928"/>
        </w:tabs>
        <w:numPr>
          <w:ilvl w:val="0"/>
          <w:numId w:val="26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Решение о прекращении осуществления органами местного самоуправления переданных отдельных государственных полномочий принимается Верховным Хуралом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парламентом</w:t>
      </w:r>
      <w:r>
        <w:rPr>
          <w:rFonts w:ascii="Arial" w:hAnsi="Arial" w:eastAsia="Arial" w:cs="Arial"/>
          <w:sz w:val="29"/>
          <w:szCs w:val="29"/>
          <w:color w:val="auto"/>
        </w:rPr>
        <w:t>)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Республики Тыва по представлению Главы Республики Тыва в соответствии с законодательством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>Статья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12.</w:t>
      </w:r>
      <w:r>
        <w:rPr>
          <w:rFonts w:ascii="Arial" w:hAnsi="Arial" w:eastAsia="Arial" w:cs="Arial"/>
          <w:sz w:val="36"/>
          <w:szCs w:val="36"/>
          <w:b w:val="1"/>
          <w:bCs w:val="1"/>
          <w:color w:val="auto"/>
        </w:rPr>
        <w:t xml:space="preserve"> Вступление в силу настоящего Закона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Настоящий Закон вступает в силу со дня его официального опубликования</w:t>
      </w:r>
      <w:r>
        <w:rPr>
          <w:rFonts w:ascii="Arial" w:hAnsi="Arial" w:eastAsia="Arial" w:cs="Arial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Глава Республики Тыва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Ш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auto"/>
        </w:rPr>
        <w:t>КАРА</w:t>
      </w:r>
      <w:r>
        <w:rPr>
          <w:rFonts w:ascii="Arial" w:hAnsi="Arial" w:eastAsia="Arial" w:cs="Arial"/>
          <w:sz w:val="29"/>
          <w:szCs w:val="29"/>
          <w:color w:val="auto"/>
        </w:rPr>
        <w:t>-</w:t>
      </w:r>
      <w:r>
        <w:rPr>
          <w:rFonts w:ascii="Arial" w:hAnsi="Arial" w:eastAsia="Arial" w:cs="Arial"/>
          <w:sz w:val="29"/>
          <w:szCs w:val="29"/>
          <w:color w:val="auto"/>
        </w:rPr>
        <w:t>ООЛ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г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Кызыл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14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ноября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2018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года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N 437-</w:t>
      </w:r>
      <w:r>
        <w:rPr>
          <w:rFonts w:ascii="Arial" w:hAnsi="Arial" w:eastAsia="Arial" w:cs="Arial"/>
          <w:sz w:val="29"/>
          <w:szCs w:val="29"/>
          <w:color w:val="auto"/>
        </w:rPr>
        <w:t>ЗРТ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218" w:left="720" w:header="0" w:footer="0" w:gutter="0"/>
        </w:sect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right="80"/>
        <w:spacing w:after="0" w:line="300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Приложение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.</w:t>
      </w: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 xml:space="preserve"> Методика расчета нормативов для определения общего объема субвенций</w:t>
      </w:r>
    </w:p>
    <w:p>
      <w:pPr>
        <w:sectPr>
          <w:pgSz w:w="11900" w:h="16840" w:orient="portrait"/>
          <w:cols w:equalWidth="0" w:num="1">
            <w:col w:w="10460"/>
          </w:cols>
          <w:pgMar w:top="901" w:right="720" w:bottom="218" w:left="720" w:header="0" w:footer="0" w:gutter="0"/>
          <w:type w:val="continuous"/>
        </w:sectPr>
      </w:pPr>
    </w:p>
    <w:bookmarkStart w:name="page21" w:id="20"/>
    <w:bookmarkEnd w:id="20"/>
    <w:p>
      <w:pPr>
        <w:ind w:right="80"/>
        <w:spacing w:after="0" w:line="262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46"/>
          <w:szCs w:val="46"/>
          <w:b w:val="1"/>
          <w:bCs w:val="1"/>
          <w:color w:val="auto"/>
        </w:rPr>
        <w:t>муниципальным образованиям Республики Тыва на осуществление государственных полномочий по организации и обеспечению отдыха и оздоровления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Приложение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к Закону Республики Тыва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"</w:t>
      </w:r>
      <w:r>
        <w:rPr>
          <w:rFonts w:ascii="Arial" w:hAnsi="Arial" w:eastAsia="Arial" w:cs="Arial"/>
          <w:sz w:val="29"/>
          <w:szCs w:val="29"/>
          <w:color w:val="auto"/>
        </w:rPr>
        <w:t>О наделении органов местного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самоуправления муниципальных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районов и городских округов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отдельными государственными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полномочиями Республики Тыва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по организации и обеспечению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"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jc w:val="both"/>
        <w:ind w:right="40"/>
        <w:spacing w:after="0" w:line="274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МЕТОДИКА РАСЧЕТА НОРМАТИВОВ ДЛЯ ОПРЕДЕЛЕНИЯ ОБЩЕГО ОБЪЕМА СУБВЕНЦИЙ МУНИЦИПАЛЬНЫМ ОБРАЗОВАНИЯМ РЕСПУБЛИКИ ТЫВА НА ОСУЩЕСТВЛЕНИЕ ГОСУДАРСТВЕННЫХ ПОЛНОМОЧИЙ ПО ОРГАНИЗАЦИИ И ОБЕСПЕЧЕНИЮ ОТДЫХА И ОЗДОРОВЛЕНИЯ ДЕТЕЙ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606"/>
        </w:tabs>
        <w:numPr>
          <w:ilvl w:val="0"/>
          <w:numId w:val="2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Настоящая Методика определяет расчет субвенций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предоставляемых из республиканского бюджета Республики Тыва бюджетам муниципальных районов и городских округов на осуществление государственных полномочий по организации и обеспечению отдыха и оздоровления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ind w:left="280" w:right="2280" w:firstLine="8"/>
        <w:spacing w:after="0" w:line="523" w:lineRule="auto"/>
        <w:tabs>
          <w:tab w:val="left" w:leader="none" w:pos="587"/>
        </w:tabs>
        <w:numPr>
          <w:ilvl w:val="0"/>
          <w:numId w:val="27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Расчет субвенций производится по следующей формуле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</w:t>
      </w:r>
      <w:r>
        <w:rPr>
          <w:rFonts w:ascii="Arial" w:hAnsi="Arial" w:eastAsia="Arial" w:cs="Arial"/>
          <w:sz w:val="1"/>
          <w:szCs w:val="1"/>
          <w:color w:val="auto"/>
        </w:rPr>
        <w:drawing>
          <wp:inline distT="0" distB="0" distL="0" distR="0">
            <wp:extent cx="3474720" cy="414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где</w:t>
      </w:r>
      <w:r>
        <w:rPr>
          <w:rFonts w:ascii="Arial" w:hAnsi="Arial" w:eastAsia="Arial" w:cs="Arial"/>
          <w:sz w:val="29"/>
          <w:szCs w:val="29"/>
          <w:color w:val="auto"/>
        </w:rPr>
        <w:t>:</w:t>
      </w: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Si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объем субвенций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i-</w:t>
      </w:r>
      <w:r>
        <w:rPr>
          <w:rFonts w:ascii="Arial" w:hAnsi="Arial" w:eastAsia="Arial" w:cs="Arial"/>
          <w:sz w:val="29"/>
          <w:szCs w:val="29"/>
          <w:color w:val="auto"/>
        </w:rPr>
        <w:t>му муниципальному району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(</w:t>
      </w:r>
      <w:r>
        <w:rPr>
          <w:rFonts w:ascii="Arial" w:hAnsi="Arial" w:eastAsia="Arial" w:cs="Arial"/>
          <w:sz w:val="29"/>
          <w:szCs w:val="29"/>
          <w:color w:val="auto"/>
        </w:rPr>
        <w:t>городскому округу</w:t>
      </w:r>
      <w:r>
        <w:rPr>
          <w:rFonts w:ascii="Arial" w:hAnsi="Arial" w:eastAsia="Arial" w:cs="Arial"/>
          <w:sz w:val="29"/>
          <w:szCs w:val="29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Ri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численность детей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подлежащих отдыху и оздоровлению в оздоровительных лагерях с дневным пребыванием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организованных образовательными организациями в каникулярное время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ectPr>
          <w:pgSz w:w="11900" w:h="16840" w:orient="portrait"/>
          <w:cols w:equalWidth="0" w:num="1">
            <w:col w:w="10460"/>
          </w:cols>
          <w:pgMar w:top="507" w:right="720" w:bottom="102" w:left="720" w:header="0" w:footer="0" w:gutter="0"/>
        </w:sectPr>
      </w:pPr>
    </w:p>
    <w:bookmarkStart w:name="page23" w:id="22"/>
    <w:bookmarkEnd w:id="22"/>
    <w:p>
      <w:pPr>
        <w:jc w:val="both"/>
        <w:ind w:right="20"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N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стоимость питания в день для детей в оздоровительных лагерях с дневным пребыванием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right="20" w:firstLine="288"/>
        <w:spacing w:after="0" w:line="308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8"/>
          <w:szCs w:val="28"/>
          <w:color w:val="auto"/>
        </w:rPr>
        <w:t>Pg -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продолжительность пребывания детей в оздоровительных лагерях с дневным пребыванием в смену в соответствующем периоде каникул</w:t>
      </w:r>
      <w:r>
        <w:rPr>
          <w:rFonts w:ascii="Arial" w:hAnsi="Arial" w:eastAsia="Arial" w:cs="Arial"/>
          <w:sz w:val="28"/>
          <w:szCs w:val="28"/>
          <w:color w:val="auto"/>
        </w:rPr>
        <w:t xml:space="preserve"> (</w:t>
      </w:r>
      <w:r>
        <w:rPr>
          <w:rFonts w:ascii="Arial" w:hAnsi="Arial" w:eastAsia="Arial" w:cs="Arial"/>
          <w:sz w:val="28"/>
          <w:szCs w:val="28"/>
          <w:color w:val="auto"/>
        </w:rPr>
        <w:t>в днях</w:t>
      </w:r>
      <w:r>
        <w:rPr>
          <w:rFonts w:ascii="Arial" w:hAnsi="Arial" w:eastAsia="Arial" w:cs="Arial"/>
          <w:sz w:val="28"/>
          <w:szCs w:val="28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8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Kni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количество путевок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приобретаемых в загородные стационарные детские оздоровительные лагеря</w:t>
      </w:r>
      <w:r>
        <w:rPr>
          <w:rFonts w:ascii="Arial" w:hAnsi="Arial" w:eastAsia="Arial" w:cs="Arial"/>
          <w:sz w:val="29"/>
          <w:szCs w:val="29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Cn -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стоимость путевки в загородные стационарные детские оздоровительные лагеря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финансируемая за счет средств республиканского бюджета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установленная Правительством Республики Тыва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2" w:lineRule="auto"/>
        <w:tabs>
          <w:tab w:val="left" w:leader="none" w:pos="695"/>
        </w:tabs>
        <w:numPr>
          <w:ilvl w:val="0"/>
          <w:numId w:val="28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Стоимость питания в день для детей в оздоровительных лагерях с дневным пребыванием определяется в соответствии с нормативами оплаты стоимости путевки в загородные стационарные детские оздоровительные лагеря</w:t>
      </w:r>
      <w:r>
        <w:rPr>
          <w:rFonts w:ascii="Arial" w:hAnsi="Arial" w:eastAsia="Arial" w:cs="Arial"/>
          <w:sz w:val="29"/>
          <w:szCs w:val="29"/>
          <w:color w:val="auto"/>
        </w:rPr>
        <w:t>,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оздоровительные лагеря с дневным пребыванием детей</w:t>
      </w:r>
      <w:r>
        <w:rPr>
          <w:rFonts w:ascii="Arial" w:hAnsi="Arial" w:eastAsia="Arial" w:cs="Arial"/>
          <w:sz w:val="29"/>
          <w:szCs w:val="29"/>
          <w:color w:val="auto"/>
        </w:rPr>
        <w:t>.</w:t>
      </w:r>
    </w:p>
    <w:p>
      <w:pPr>
        <w:spacing w:after="0" w:line="200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spacing w:after="0" w:line="359" w:lineRule="exact"/>
        <w:rPr>
          <w:rFonts w:ascii="Arial" w:hAnsi="Arial" w:eastAsia="Arial" w:cs="Arial"/>
          <w:sz w:val="29"/>
          <w:szCs w:val="29"/>
          <w:color w:val="auto"/>
        </w:rPr>
      </w:pPr>
    </w:p>
    <w:p>
      <w:pPr>
        <w:jc w:val="both"/>
        <w:ind w:right="20" w:firstLine="288"/>
        <w:spacing w:after="0" w:line="269" w:lineRule="auto"/>
        <w:tabs>
          <w:tab w:val="left" w:leader="none" w:pos="761"/>
        </w:tabs>
        <w:numPr>
          <w:ilvl w:val="0"/>
          <w:numId w:val="28"/>
        </w:numPr>
        <w:rPr>
          <w:rFonts w:ascii="Arial" w:hAnsi="Arial" w:eastAsia="Arial" w:cs="Arial"/>
          <w:sz w:val="29"/>
          <w:szCs w:val="29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Среднесуточный набор пищевых продуктов в день для детей в оздоровительных лагерях с дневным пребыванием должен быть обеспечен в соответствии с требованиями СанПин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2.4.4.2599-10.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both"/>
        <w:ind w:firstLine="288"/>
        <w:spacing w:after="0" w:line="269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9"/>
          <w:szCs w:val="29"/>
          <w:color w:val="auto"/>
        </w:rPr>
        <w:t>Среднесуточный набор пищевых продуктов в день для детей в загородных стационарных детских оздоровительных лагерях должен быть обеспечен в соответствии с требованиями СанПин</w:t>
      </w:r>
      <w:r>
        <w:rPr>
          <w:rFonts w:ascii="Arial" w:hAnsi="Arial" w:eastAsia="Arial" w:cs="Arial"/>
          <w:sz w:val="29"/>
          <w:szCs w:val="29"/>
          <w:color w:val="auto"/>
        </w:rPr>
        <w:t xml:space="preserve"> 2.4.4.3155-13.</w:t>
      </w:r>
    </w:p>
    <w:p>
      <w:pPr>
        <w:sectPr>
          <w:pgSz w:w="11900" w:h="16840" w:orient="portrait"/>
          <w:cols w:equalWidth="0" w:num="1">
            <w:col w:w="10460"/>
          </w:cols>
          <w:pgMar w:top="1016" w:right="720" w:bottom="1440" w:left="72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4D06"/>
    <w:multiLevelType w:val="hybridMultilevel"/>
    <w:lvl w:ilvl="0">
      <w:lvlJc w:val="left"/>
      <w:lvlText w:val="О"/>
      <w:numFmt w:val="bullet"/>
      <w:start w:val="1"/>
    </w:lvl>
  </w:abstractNum>
  <w:abstractNum w:abstractNumId="1">
    <w:nsid w:val="4DB7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)"/>
      <w:numFmt w:val="decimal"/>
      <w:start w:val="1"/>
    </w:lvl>
  </w:abstractNum>
  <w:abstractNum w:abstractNumId="2">
    <w:nsid w:val="1547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)"/>
      <w:numFmt w:val="decimal"/>
      <w:start w:val="3"/>
    </w:lvl>
  </w:abstractNum>
  <w:abstractNum w:abstractNumId="3">
    <w:nsid w:val="54DE"/>
    <w:multiLevelType w:val="hybridMultilevel"/>
    <w:lvl w:ilvl="0">
      <w:lvlJc w:val="left"/>
      <w:lvlText w:val="%1)"/>
      <w:numFmt w:val="decimal"/>
      <w:start w:val="1"/>
    </w:lvl>
  </w:abstractNum>
  <w:abstractNum w:abstractNumId="4">
    <w:nsid w:val="39B3"/>
    <w:multiLevelType w:val="hybridMultilevel"/>
    <w:lvl w:ilvl="0">
      <w:lvlJc w:val="left"/>
      <w:lvlText w:val="%1)"/>
      <w:numFmt w:val="decimal"/>
      <w:start w:val="14"/>
    </w:lvl>
  </w:abstractNum>
  <w:abstractNum w:abstractNumId="5">
    <w:nsid w:val="2D12"/>
    <w:multiLevelType w:val="hybridMultilevel"/>
    <w:lvl w:ilvl="0">
      <w:lvlJc w:val="left"/>
      <w:lvlText w:val="%1."/>
      <w:numFmt w:val="decimal"/>
      <w:start w:val="1"/>
    </w:lvl>
  </w:abstractNum>
  <w:abstractNum w:abstractNumId="6">
    <w:nsid w:val="74D"/>
    <w:multiLevelType w:val="hybridMultilevel"/>
    <w:lvl w:ilvl="0">
      <w:lvlJc w:val="left"/>
      <w:lvlText w:val="%1."/>
      <w:numFmt w:val="decimal"/>
      <w:start w:val="2"/>
    </w:lvl>
  </w:abstractNum>
  <w:abstractNum w:abstractNumId="7">
    <w:nsid w:val="4DC8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6443"/>
    <w:multiLevelType w:val="hybridMultilevel"/>
    <w:lvl w:ilvl="0">
      <w:lvlJc w:val="left"/>
      <w:lvlText w:val="%1)"/>
      <w:numFmt w:val="decimal"/>
      <w:start w:val="1"/>
    </w:lvl>
  </w:abstractNum>
  <w:abstractNum w:abstractNumId="9">
    <w:nsid w:val="66BB"/>
    <w:multiLevelType w:val="hybridMultilevel"/>
    <w:lvl w:ilvl="0">
      <w:lvlJc w:val="left"/>
      <w:lvlText w:val="%1."/>
      <w:numFmt w:val="decimal"/>
      <w:start w:val="2"/>
    </w:lvl>
  </w:abstractNum>
  <w:abstractNum w:abstractNumId="10">
    <w:nsid w:val="428B"/>
    <w:multiLevelType w:val="hybridMultilevel"/>
    <w:lvl w:ilvl="0">
      <w:lvlJc w:val="left"/>
      <w:lvlText w:val="%1)"/>
      <w:numFmt w:val="decimal"/>
      <w:start w:val="1"/>
    </w:lvl>
  </w:abstractNum>
  <w:abstractNum w:abstractNumId="11">
    <w:nsid w:val="26A6"/>
    <w:multiLevelType w:val="hybridMultilevel"/>
    <w:lvl w:ilvl="0">
      <w:lvlJc w:val="left"/>
      <w:lvlText w:val="%1."/>
      <w:numFmt w:val="decimal"/>
      <w:start w:val="1"/>
    </w:lvl>
  </w:abstractNum>
  <w:abstractNum w:abstractNumId="12">
    <w:nsid w:val="701F"/>
    <w:multiLevelType w:val="hybridMultilevel"/>
    <w:lvl w:ilvl="0">
      <w:lvlJc w:val="left"/>
      <w:lvlText w:val="%1)"/>
      <w:numFmt w:val="decimal"/>
      <w:start w:val="1"/>
    </w:lvl>
  </w:abstractNum>
  <w:abstractNum w:abstractNumId="13">
    <w:nsid w:val="5D03"/>
    <w:multiLevelType w:val="hybridMultilevel"/>
    <w:lvl w:ilvl="0">
      <w:lvlJc w:val="left"/>
      <w:lvlText w:val="%1."/>
      <w:numFmt w:val="decimal"/>
      <w:start w:val="2"/>
    </w:lvl>
  </w:abstractNum>
  <w:abstractNum w:abstractNumId="14">
    <w:nsid w:val="7A5A"/>
    <w:multiLevelType w:val="hybridMultilevel"/>
    <w:lvl w:ilvl="0">
      <w:lvlJc w:val="left"/>
      <w:lvlText w:val="%1)"/>
      <w:numFmt w:val="decimal"/>
      <w:start w:val="1"/>
    </w:lvl>
  </w:abstractNum>
  <w:abstractNum w:abstractNumId="15">
    <w:nsid w:val="767D"/>
    <w:multiLevelType w:val="hybridMultilevel"/>
    <w:lvl w:ilvl="0">
      <w:lvlJc w:val="left"/>
      <w:lvlText w:val="с"/>
      <w:numFmt w:val="bullet"/>
      <w:start w:val="1"/>
    </w:lvl>
  </w:abstractNum>
  <w:abstractNum w:abstractNumId="16">
    <w:nsid w:val="4509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7">
    <w:nsid w:val="1238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18">
    <w:nsid w:val="3B25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9">
    <w:nsid w:val="1E1F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20">
    <w:nsid w:val="6E5D"/>
    <w:multiLevelType w:val="hybridMultilevel"/>
    <w:lvl w:ilvl="0">
      <w:lvlJc w:val="left"/>
      <w:lvlText w:val="%1."/>
      <w:numFmt w:val="decimal"/>
      <w:start w:val="1"/>
    </w:lvl>
  </w:abstractNum>
  <w:abstractNum w:abstractNumId="21">
    <w:nsid w:val="1AD4"/>
    <w:multiLevelType w:val="hybridMultilevel"/>
    <w:lvl w:ilvl="0">
      <w:lvlJc w:val="left"/>
      <w:lvlText w:val="%1."/>
      <w:numFmt w:val="decimal"/>
      <w:start w:val="2"/>
    </w:lvl>
  </w:abstractNum>
  <w:abstractNum w:abstractNumId="22">
    <w:nsid w:val="63CB"/>
    <w:multiLevelType w:val="hybridMultilevel"/>
    <w:lvl w:ilvl="0">
      <w:lvlJc w:val="left"/>
      <w:lvlText w:val="%1."/>
      <w:numFmt w:val="decimal"/>
      <w:start w:val="1"/>
    </w:lvl>
  </w:abstractNum>
  <w:abstractNum w:abstractNumId="23">
    <w:nsid w:val="6BFC"/>
    <w:multiLevelType w:val="hybridMultilevel"/>
    <w:lvl w:ilvl="0">
      <w:lvlJc w:val="left"/>
      <w:lvlText w:val="%1)"/>
      <w:numFmt w:val="decimal"/>
      <w:start w:val="1"/>
    </w:lvl>
  </w:abstractNum>
  <w:abstractNum w:abstractNumId="24">
    <w:nsid w:val="7F96"/>
    <w:multiLevelType w:val="hybridMultilevel"/>
    <w:lvl w:ilvl="0">
      <w:lvlJc w:val="left"/>
      <w:lvlText w:val="%1)"/>
      <w:numFmt w:val="decimal"/>
      <w:start w:val="2"/>
    </w:lvl>
  </w:abstractNum>
  <w:abstractNum w:abstractNumId="25">
    <w:nsid w:val="7FF5"/>
    <w:multiLevelType w:val="hybridMultilevel"/>
    <w:lvl w:ilvl="0">
      <w:lvlJc w:val="left"/>
      <w:lvlText w:val="%1."/>
      <w:numFmt w:val="decimal"/>
      <w:start w:val="2"/>
    </w:lvl>
  </w:abstractNum>
  <w:abstractNum w:abstractNumId="26">
    <w:nsid w:val="4E45"/>
    <w:multiLevelType w:val="hybridMultilevel"/>
    <w:lvl w:ilvl="0">
      <w:lvlJc w:val="left"/>
      <w:lvlText w:val="%1."/>
      <w:numFmt w:val="decimal"/>
      <w:start w:val="1"/>
    </w:lvl>
  </w:abstractNum>
  <w:abstractNum w:abstractNumId="27">
    <w:nsid w:val="323B"/>
    <w:multiLevelType w:val="hybridMultilevel"/>
    <w:lvl w:ilvl="0">
      <w:lvlJc w:val="left"/>
      <w:lvlText w:val="%1."/>
      <w:numFmt w:val="decimal"/>
      <w:start w:val="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8" Type="http://schemas.openxmlformats.org/officeDocument/2006/relationships/image" Target="media/image1.jpeg"/><Relationship Id="rId12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714433" TargetMode="External"/><Relationship Id="rId14" Type="http://schemas.openxmlformats.org/officeDocument/2006/relationships/hyperlink" Target="http://docs.cntd.ru/document/901744603" TargetMode="External"/><Relationship Id="rId15" Type="http://schemas.openxmlformats.org/officeDocument/2006/relationships/hyperlink" Target="http://docs.cntd.ru/document/901876063" TargetMode="External"/><Relationship Id="rId16" Type="http://schemas.openxmlformats.org/officeDocument/2006/relationships/hyperlink" Target="http://docs.cntd.ru/document/901713538" TargetMode="External"/><Relationship Id="rId17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2023-09-16T12:17:58Z</dcterms:created>
  <dcterms:modified xsi:type="dcterms:W3CDTF">2023-09-16T12:17:58Z</dcterms:modified>
</cp:coreProperties>
</file>