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1462608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c6077dab-9925-4774-bff8-633c408d96f7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Респубики Тыва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788ae511-f951-4a39-a96d-32e07689f645"/>
      <w:r>
        <w:rPr>
          <w:rFonts w:ascii="Times New Roman" w:hAnsi="Times New Roman"/>
          <w:b/>
          <w:i w:val="0"/>
          <w:color w:val="000000"/>
          <w:sz w:val="28"/>
        </w:rPr>
        <w:t>Мэрия города Кызыла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МАОУ "Лицей №15 им. Н.Н.Макаренко"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75"/>
        <w:gridCol w:w="2775"/>
        <w:gridCol w:w="2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Зав.кафедрой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Утямишева С.В.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«28» 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Зав. по НМР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 от «28» 08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Зеленова О.Л.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127/д от «29» 08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1985417)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  <w:rPr>
          <w:sz w:val="28"/>
          <w:szCs w:val="28"/>
          <w:lang w:val="ru-RU"/>
        </w:rPr>
      </w:pPr>
    </w:p>
    <w:p>
      <w:pPr>
        <w:spacing w:before="0" w:after="0"/>
        <w:ind w:left="120"/>
        <w:jc w:val="center"/>
        <w:rPr>
          <w:sz w:val="28"/>
          <w:szCs w:val="28"/>
          <w:lang w:val="ru-RU"/>
        </w:rPr>
      </w:pPr>
    </w:p>
    <w:p>
      <w:pPr>
        <w:spacing w:before="0" w:after="0"/>
        <w:ind w:left="120"/>
        <w:jc w:val="center"/>
        <w:rPr>
          <w:sz w:val="28"/>
          <w:szCs w:val="28"/>
          <w:lang w:val="ru-RU"/>
        </w:rPr>
      </w:pPr>
    </w:p>
    <w:p>
      <w:pPr>
        <w:spacing w:before="0" w:after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Кызыл</w:t>
      </w:r>
      <w:r>
        <w:rPr>
          <w:rFonts w:hint="default"/>
          <w:sz w:val="28"/>
          <w:szCs w:val="28"/>
          <w:lang w:val="ru-RU"/>
        </w:rPr>
        <w:t>- 2023</w:t>
      </w:r>
    </w:p>
    <w:p>
      <w:pPr>
        <w:spacing w:before="0" w:after="0"/>
        <w:ind w:left="120"/>
        <w:jc w:val="center"/>
      </w:pPr>
    </w:p>
    <w:p>
      <w:pPr>
        <w:spacing w:before="0" w:after="0"/>
        <w:jc w:val="both"/>
        <w:sectPr>
          <w:pgSz w:w="11906" w:h="16383"/>
          <w:cols w:space="720" w:num="1"/>
        </w:sectPr>
      </w:pPr>
      <w:bookmarkStart w:id="3" w:name="block-14626083"/>
    </w:p>
    <w:bookmarkEnd w:id="0"/>
    <w:bookmarkEnd w:id="3"/>
    <w:p>
      <w:pPr>
        <w:spacing w:before="0" w:after="0" w:line="264" w:lineRule="auto"/>
        <w:jc w:val="center"/>
      </w:pPr>
      <w:bookmarkStart w:id="4" w:name="block-1462608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​​</w:t>
      </w: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ЦЕЛИ ИЗУЧЕНИЯ УЧЕБНОГО ПРЕДМЕТА 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>
      <w:pPr>
        <w:sectPr>
          <w:pgSz w:w="11906" w:h="16383"/>
          <w:cols w:space="720" w:num="1"/>
        </w:sectPr>
      </w:pPr>
      <w:bookmarkStart w:id="5" w:name="block-14626088"/>
    </w:p>
    <w:bookmarkEnd w:id="4"/>
    <w:bookmarkEnd w:id="5"/>
    <w:p>
      <w:pPr>
        <w:spacing w:before="0" w:after="0" w:line="264" w:lineRule="auto"/>
        <w:ind w:left="120"/>
        <w:jc w:val="both"/>
      </w:pPr>
      <w:bookmarkStart w:id="6" w:name="block-14626089"/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числительное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Местоимение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Двусоставное предложение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Главные члены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Второстепенные члены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Односоставные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Простое осложнённое предложение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однородными членами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обособленными членами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 w:lineRule="auto"/>
        <w:ind w:firstLine="60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 w:lineRule="auto"/>
        <w:ind w:left="120"/>
        <w:jc w:val="both"/>
        <w:sectPr>
          <w:pgSz w:w="11906" w:h="16383"/>
          <w:cols w:space="720" w:num="1"/>
        </w:sectPr>
      </w:pPr>
      <w:bookmarkStart w:id="7" w:name="block-14626089"/>
    </w:p>
    <w:bookmarkEnd w:id="6"/>
    <w:bookmarkEnd w:id="7"/>
    <w:p>
      <w:pPr>
        <w:spacing w:before="0" w:after="0" w:line="264" w:lineRule="auto"/>
        <w:jc w:val="both"/>
      </w:pPr>
      <w:bookmarkStart w:id="8" w:name="block-14626084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Фонетика. Графика. Орфоэпия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 w:lineRule="auto"/>
        <w:ind w:firstLine="60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9" w:name="block-14626084"/>
    </w:p>
    <w:bookmarkEnd w:id="8"/>
    <w:bookmarkEnd w:id="9"/>
    <w:p>
      <w:pPr>
        <w:spacing w:before="0" w:after="0"/>
        <w:ind w:left="120"/>
        <w:jc w:val="left"/>
      </w:pPr>
      <w:bookmarkStart w:id="10" w:name="block-14626085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9"/>
        <w:gridCol w:w="2560"/>
        <w:gridCol w:w="1421"/>
        <w:gridCol w:w="2456"/>
        <w:gridCol w:w="2579"/>
        <w:gridCol w:w="38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4"/>
        <w:gridCol w:w="3360"/>
        <w:gridCol w:w="1299"/>
        <w:gridCol w:w="2315"/>
        <w:gridCol w:w="2447"/>
        <w:gridCol w:w="350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8"/>
        <w:gridCol w:w="3200"/>
        <w:gridCol w:w="1303"/>
        <w:gridCol w:w="2320"/>
        <w:gridCol w:w="2452"/>
        <w:gridCol w:w="35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2880"/>
        <w:gridCol w:w="1372"/>
        <w:gridCol w:w="2400"/>
        <w:gridCol w:w="2526"/>
        <w:gridCol w:w="371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2880"/>
        <w:gridCol w:w="1372"/>
        <w:gridCol w:w="2400"/>
        <w:gridCol w:w="2526"/>
        <w:gridCol w:w="371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1" w:name="block-14626085"/>
    </w:p>
    <w:bookmarkEnd w:id="10"/>
    <w:bookmarkEnd w:id="11"/>
    <w:p>
      <w:pPr>
        <w:spacing w:before="0" w:after="0"/>
        <w:ind w:left="120"/>
        <w:jc w:val="left"/>
      </w:pPr>
      <w:bookmarkStart w:id="12" w:name="block-14626087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4"/>
        <w:gridCol w:w="4249"/>
        <w:gridCol w:w="2920"/>
        <w:gridCol w:w="4840"/>
        <w:gridCol w:w="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4"/>
        <w:gridCol w:w="4249"/>
        <w:gridCol w:w="2920"/>
        <w:gridCol w:w="4840"/>
        <w:gridCol w:w="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Метафора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4"/>
        <w:gridCol w:w="4249"/>
        <w:gridCol w:w="2920"/>
        <w:gridCol w:w="4840"/>
        <w:gridCol w:w="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4"/>
        <w:gridCol w:w="4249"/>
        <w:gridCol w:w="2920"/>
        <w:gridCol w:w="4840"/>
        <w:gridCol w:w="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4"/>
        <w:gridCol w:w="4249"/>
        <w:gridCol w:w="2920"/>
        <w:gridCol w:w="4840"/>
        <w:gridCol w:w="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  <w:bookmarkStart w:id="16" w:name="_GoBack"/>
            <w:bookmarkEnd w:id="16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3" w:name="block-14626087"/>
    </w:p>
    <w:bookmarkEnd w:id="12"/>
    <w:bookmarkEnd w:id="13"/>
    <w:p>
      <w:pPr>
        <w:spacing w:before="0" w:after="0"/>
        <w:ind w:left="120"/>
        <w:jc w:val="left"/>
      </w:pPr>
      <w:bookmarkStart w:id="14" w:name="block-14626086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15" w:name="block-14626086"/>
    </w:p>
    <w:bookmarkEnd w:id="14"/>
    <w:bookmarkEnd w:id="15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F3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2023-09-04T02:19:48Z</dcterms:created>
  <dc:creator>1656963</dc:creator>
  <cp:lastModifiedBy>1656963</cp:lastModifiedBy>
  <dcterms:modified xsi:type="dcterms:W3CDTF">2023-09-04T02:26:45Z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6B820DFDB9204A0AA7CDBC7099FD2266</vt:lpwstr>
  </property>
</Properties>
</file>